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65" w:rsidRPr="00F867D8" w:rsidRDefault="00EB2965" w:rsidP="00EB2965">
      <w:pPr>
        <w:spacing w:before="60" w:after="60" w:line="288" w:lineRule="auto"/>
        <w:jc w:val="center"/>
        <w:rPr>
          <w:b/>
          <w:sz w:val="28"/>
          <w:szCs w:val="28"/>
        </w:rPr>
      </w:pPr>
      <w:r w:rsidRPr="00F867D8">
        <w:rPr>
          <w:b/>
          <w:sz w:val="28"/>
          <w:szCs w:val="28"/>
        </w:rPr>
        <w:t>HƯỚNG DẪN ĐIỀN BIỂU 02/KHCN-NL</w:t>
      </w:r>
    </w:p>
    <w:p w:rsidR="00EB2965" w:rsidRPr="00F867D8" w:rsidRDefault="00EB2965" w:rsidP="00EB2965">
      <w:pPr>
        <w:spacing w:before="60" w:after="60" w:line="288" w:lineRule="auto"/>
        <w:jc w:val="center"/>
        <w:rPr>
          <w:b/>
          <w:sz w:val="28"/>
          <w:szCs w:val="28"/>
        </w:rPr>
      </w:pPr>
      <w:r w:rsidRPr="00F867D8">
        <w:rPr>
          <w:b/>
          <w:sz w:val="28"/>
          <w:szCs w:val="28"/>
        </w:rPr>
        <w:t>SỐ NGƯỜI TRONG CÁC TỔ CHỨC KHOA HỌC VÀ CÔNG NGHỆ</w:t>
      </w:r>
    </w:p>
    <w:p w:rsidR="00EB2965" w:rsidRPr="00F867D8" w:rsidRDefault="00EB2965" w:rsidP="00EB2965">
      <w:pPr>
        <w:spacing w:before="60" w:after="60" w:line="288" w:lineRule="auto"/>
        <w:ind w:firstLine="720"/>
        <w:jc w:val="both"/>
        <w:rPr>
          <w:b/>
          <w:sz w:val="10"/>
          <w:szCs w:val="28"/>
        </w:rPr>
      </w:pPr>
    </w:p>
    <w:p w:rsidR="00EB2965" w:rsidRPr="00AD34F2" w:rsidRDefault="00EB2965" w:rsidP="00EB2965">
      <w:pPr>
        <w:spacing w:before="60" w:after="60" w:line="264" w:lineRule="auto"/>
        <w:ind w:firstLine="720"/>
        <w:jc w:val="both"/>
        <w:rPr>
          <w:b/>
          <w:sz w:val="28"/>
          <w:szCs w:val="28"/>
          <w:lang w:val="pt-BR"/>
        </w:rPr>
      </w:pPr>
      <w:r w:rsidRPr="00AD34F2">
        <w:rPr>
          <w:b/>
          <w:sz w:val="28"/>
          <w:szCs w:val="28"/>
          <w:lang w:val="pt-BR"/>
        </w:rPr>
        <w:t>1. Khái niệm, phương pháp tính</w:t>
      </w:r>
    </w:p>
    <w:p w:rsidR="00EB2965" w:rsidRPr="00F867D8" w:rsidRDefault="00EB2965" w:rsidP="00EB2965">
      <w:pPr>
        <w:spacing w:before="60" w:after="60" w:line="264" w:lineRule="auto"/>
        <w:ind w:firstLine="720"/>
        <w:jc w:val="both"/>
        <w:rPr>
          <w:sz w:val="28"/>
          <w:szCs w:val="28"/>
          <w:lang w:val="pt-BR"/>
        </w:rPr>
      </w:pPr>
      <w:r w:rsidRPr="006B2BD7">
        <w:rPr>
          <w:i/>
          <w:sz w:val="28"/>
          <w:szCs w:val="28"/>
          <w:lang w:val="pt-BR"/>
        </w:rPr>
        <w:t xml:space="preserve">Số người trong các tổ chức KH&amp;CN </w:t>
      </w:r>
      <w:r w:rsidRPr="00F867D8">
        <w:rPr>
          <w:sz w:val="28"/>
          <w:szCs w:val="28"/>
          <w:lang w:val="pt-BR"/>
        </w:rPr>
        <w:t>là những lao động được tổ chức KH&amp;CN quản lý, sử dụng và trả lương, bao gồm cả lao động được tuyển dụng chính thức và lao động hợp đồng từ 01 năm trở lên.</w:t>
      </w:r>
    </w:p>
    <w:p w:rsidR="00EB2965" w:rsidRPr="00F867D8" w:rsidRDefault="00EB2965" w:rsidP="00EB2965">
      <w:pPr>
        <w:spacing w:before="60" w:after="60" w:line="264" w:lineRule="auto"/>
        <w:ind w:firstLine="720"/>
        <w:jc w:val="both"/>
        <w:rPr>
          <w:sz w:val="28"/>
          <w:szCs w:val="28"/>
          <w:lang w:val="pt-BR"/>
        </w:rPr>
      </w:pPr>
      <w:r w:rsidRPr="00F867D8">
        <w:rPr>
          <w:sz w:val="28"/>
          <w:szCs w:val="28"/>
          <w:lang w:val="pt-BR"/>
        </w:rPr>
        <w:t>Phương pháp tính: Tổng số người trong các tổ chức KH&amp;CN tại thời điểm báo cáo.</w:t>
      </w:r>
    </w:p>
    <w:p w:rsidR="00EB2965" w:rsidRPr="00F867D8" w:rsidRDefault="00EB2965" w:rsidP="00EB2965">
      <w:pPr>
        <w:spacing w:before="60" w:after="60" w:line="264" w:lineRule="auto"/>
        <w:ind w:firstLine="720"/>
        <w:jc w:val="both"/>
        <w:rPr>
          <w:b/>
          <w:sz w:val="28"/>
          <w:szCs w:val="28"/>
          <w:lang w:val="pt-BR"/>
        </w:rPr>
      </w:pPr>
      <w:r w:rsidRPr="00F867D8">
        <w:rPr>
          <w:b/>
          <w:sz w:val="28"/>
          <w:szCs w:val="28"/>
          <w:lang w:val="pt-BR"/>
        </w:rPr>
        <w:t>2. Cách ghi biểu</w:t>
      </w:r>
    </w:p>
    <w:p w:rsidR="00EB2965" w:rsidRPr="008565A5" w:rsidRDefault="00EB2965" w:rsidP="00EB2965">
      <w:pPr>
        <w:spacing w:before="60" w:after="60" w:line="264" w:lineRule="auto"/>
        <w:ind w:firstLine="720"/>
        <w:jc w:val="both"/>
        <w:rPr>
          <w:sz w:val="28"/>
          <w:szCs w:val="28"/>
          <w:lang w:val="pt-BR"/>
        </w:rPr>
      </w:pPr>
      <w:r w:rsidRPr="00F867D8">
        <w:rPr>
          <w:sz w:val="28"/>
          <w:szCs w:val="28"/>
          <w:lang w:val="pt-BR"/>
        </w:rPr>
        <w:t xml:space="preserve">- </w:t>
      </w:r>
      <w:r w:rsidRPr="008565A5">
        <w:rPr>
          <w:sz w:val="28"/>
          <w:szCs w:val="28"/>
          <w:lang w:val="pt-BR"/>
        </w:rPr>
        <w:t>Cột</w:t>
      </w:r>
      <w:r w:rsidRPr="00F867D8">
        <w:rPr>
          <w:sz w:val="28"/>
          <w:szCs w:val="28"/>
          <w:lang w:val="pt-BR"/>
        </w:rPr>
        <w:t xml:space="preserve"> 1: Ghi tổng số người trong các tổ chức KH&amp;CN, tương ứng với các dòng cột A.</w:t>
      </w:r>
      <w:r w:rsidRPr="008565A5">
        <w:rPr>
          <w:sz w:val="28"/>
          <w:szCs w:val="28"/>
          <w:lang w:val="pt-BR"/>
        </w:rPr>
        <w:t xml:space="preserve"> (Giá trị Cột 1= cột 2 + cột 3 + cột 4 + cột 5 + cột 6);</w:t>
      </w:r>
    </w:p>
    <w:p w:rsidR="00EB2965" w:rsidRPr="00F867D8" w:rsidRDefault="00EB2965" w:rsidP="00EB2965">
      <w:pPr>
        <w:spacing w:before="60" w:after="60" w:line="264" w:lineRule="auto"/>
        <w:ind w:firstLine="720"/>
        <w:jc w:val="both"/>
        <w:rPr>
          <w:sz w:val="28"/>
          <w:szCs w:val="28"/>
          <w:lang w:val="pt-BR"/>
        </w:rPr>
      </w:pPr>
      <w:r w:rsidRPr="00F867D8">
        <w:rPr>
          <w:sz w:val="28"/>
          <w:szCs w:val="28"/>
          <w:lang w:val="pt-BR"/>
        </w:rPr>
        <w:t xml:space="preserve">- </w:t>
      </w:r>
      <w:r w:rsidRPr="008565A5">
        <w:rPr>
          <w:sz w:val="28"/>
          <w:szCs w:val="28"/>
          <w:lang w:val="pt-BR"/>
        </w:rPr>
        <w:t>Cột</w:t>
      </w:r>
      <w:r w:rsidRPr="00F867D8">
        <w:rPr>
          <w:sz w:val="28"/>
          <w:szCs w:val="28"/>
          <w:lang w:val="pt-BR"/>
        </w:rPr>
        <w:t xml:space="preserve"> 2 - cột 8: Ghi số người trong các tổ chức KH&amp;CN theo trình độ chuyên môn và chức danh, tương ứng với các dòng cột A. Một người ở cột trình độ chuyên môn có thể được ghi trùng ở cột chức danh.</w:t>
      </w:r>
    </w:p>
    <w:p w:rsidR="00EB2965" w:rsidRPr="008565A5" w:rsidRDefault="00EB2965" w:rsidP="00EB2965">
      <w:pPr>
        <w:spacing w:before="60" w:after="60" w:line="264" w:lineRule="auto"/>
        <w:ind w:firstLine="720"/>
        <w:jc w:val="both"/>
        <w:rPr>
          <w:sz w:val="28"/>
          <w:szCs w:val="28"/>
          <w:lang w:val="pt-BR"/>
        </w:rPr>
      </w:pPr>
      <w:r w:rsidRPr="008565A5">
        <w:rPr>
          <w:b/>
          <w:sz w:val="28"/>
          <w:szCs w:val="28"/>
          <w:lang w:val="pt-BR"/>
        </w:rPr>
        <w:t>Mục "1. "Trong đó số Nữ":</w:t>
      </w:r>
      <w:r w:rsidRPr="008565A5">
        <w:rPr>
          <w:sz w:val="28"/>
          <w:szCs w:val="28"/>
          <w:lang w:val="pt-BR"/>
        </w:rPr>
        <w:t xml:space="preserve"> Dùng để xác định số người trong các tổ chức KH&amp;CN có giới tính nữ. </w:t>
      </w:r>
    </w:p>
    <w:p w:rsidR="00EB2965" w:rsidRPr="008565A5" w:rsidRDefault="00EB2965" w:rsidP="00EB2965">
      <w:pPr>
        <w:spacing w:before="60" w:after="60" w:line="264" w:lineRule="auto"/>
        <w:ind w:firstLine="720"/>
        <w:jc w:val="both"/>
        <w:rPr>
          <w:sz w:val="28"/>
          <w:szCs w:val="28"/>
          <w:lang w:val="pt-BR"/>
        </w:rPr>
      </w:pPr>
      <w:r w:rsidRPr="008565A5">
        <w:rPr>
          <w:b/>
          <w:sz w:val="28"/>
          <w:szCs w:val="28"/>
          <w:lang w:val="pt-BR"/>
        </w:rPr>
        <w:t>Mục "2. Chia theo loại hình tổ chức":</w:t>
      </w:r>
      <w:r w:rsidRPr="008565A5">
        <w:rPr>
          <w:sz w:val="28"/>
          <w:szCs w:val="28"/>
          <w:lang w:val="pt-BR"/>
        </w:rPr>
        <w:t xml:space="preserve"> Gồm 3 phân nhóm: Tổ chức nghiên cứu khoa học và phát triển công nghệ; C</w:t>
      </w:r>
      <w:r w:rsidRPr="00F867D8">
        <w:rPr>
          <w:sz w:val="28"/>
          <w:szCs w:val="28"/>
          <w:lang w:val="pt-BR"/>
        </w:rPr>
        <w:t>ơ sở giáo dục đại học, cao đẳng</w:t>
      </w:r>
      <w:r w:rsidRPr="008565A5">
        <w:rPr>
          <w:sz w:val="28"/>
          <w:szCs w:val="28"/>
          <w:lang w:val="pt-BR"/>
        </w:rPr>
        <w:t>; Tổ chức dịch vụ KH&amp;CN. Trong đó mỗi phân nhóm chia theo số nữ và dân tộc thiểu số.</w:t>
      </w:r>
    </w:p>
    <w:p w:rsidR="00EB2965" w:rsidRPr="008565A5" w:rsidRDefault="00EB2965" w:rsidP="00EB2965">
      <w:pPr>
        <w:spacing w:before="60" w:after="60" w:line="264" w:lineRule="auto"/>
        <w:ind w:firstLine="720"/>
        <w:jc w:val="both"/>
        <w:rPr>
          <w:sz w:val="28"/>
          <w:szCs w:val="28"/>
          <w:lang w:val="pt-BR"/>
        </w:rPr>
      </w:pPr>
      <w:r w:rsidRPr="008565A5">
        <w:rPr>
          <w:b/>
          <w:sz w:val="28"/>
          <w:szCs w:val="28"/>
          <w:lang w:val="pt-BR"/>
        </w:rPr>
        <w:t>Mục "3. Chia theo quốc tịch":</w:t>
      </w:r>
      <w:r w:rsidRPr="008565A5">
        <w:rPr>
          <w:sz w:val="28"/>
          <w:szCs w:val="28"/>
          <w:lang w:val="pt-BR"/>
        </w:rPr>
        <w:t xml:space="preserve"> Trong đó chia theo 2 nhóm là người Việt Nam (dân tộc Kinh và dân tộc thiểu số) và người nước ngoài. Nếu có lao động là người dân tộc thiểu số, thì tính tổng số, không phân biệt thành nhóm dân tộc thiểu số (như H'mong, Thái,..). Nếu có người nước ngoài thì chỉ ghi số lượng, không phân biệt quốc tịch.</w:t>
      </w:r>
    </w:p>
    <w:p w:rsidR="00EB2965" w:rsidRPr="008565A5" w:rsidRDefault="00EB2965" w:rsidP="00EB2965">
      <w:pPr>
        <w:spacing w:before="60" w:after="60" w:line="264" w:lineRule="auto"/>
        <w:ind w:firstLine="720"/>
        <w:jc w:val="both"/>
        <w:rPr>
          <w:sz w:val="28"/>
          <w:szCs w:val="28"/>
          <w:lang w:val="pt-BR"/>
        </w:rPr>
      </w:pPr>
      <w:r w:rsidRPr="008565A5">
        <w:rPr>
          <w:b/>
          <w:sz w:val="28"/>
          <w:szCs w:val="28"/>
          <w:lang w:val="pt-BR"/>
        </w:rPr>
        <w:t>Mục "4. Chia theo lĩnh vực đào tạo":</w:t>
      </w:r>
      <w:r w:rsidRPr="008565A5">
        <w:rPr>
          <w:sz w:val="28"/>
          <w:szCs w:val="28"/>
          <w:lang w:val="pt-BR"/>
        </w:rPr>
        <w:t xml:space="preserve"> Chia theo các lĩnh vực chính: 1. Khoa học tự nhiên; 2. Khoa học kỹ thuật và công nghệ; 3. Khoa học y, dược; 4. Khoa học nông nghiệp; 5. Khoa học xã hội; 6. Khoa học nhân văn; 7. Khác.</w:t>
      </w:r>
    </w:p>
    <w:p w:rsidR="00EB2965" w:rsidRPr="008565A5" w:rsidRDefault="00EB2965" w:rsidP="00EB2965">
      <w:pPr>
        <w:spacing w:before="60" w:after="60" w:line="264" w:lineRule="auto"/>
        <w:ind w:firstLine="720"/>
        <w:jc w:val="both"/>
        <w:rPr>
          <w:sz w:val="28"/>
          <w:szCs w:val="28"/>
          <w:lang w:val="pt-BR"/>
        </w:rPr>
      </w:pPr>
      <w:r w:rsidRPr="008565A5">
        <w:rPr>
          <w:b/>
          <w:sz w:val="28"/>
          <w:szCs w:val="28"/>
          <w:lang w:val="pt-BR"/>
        </w:rPr>
        <w:t>Mục 5. “Chia theo độ tuổi”</w:t>
      </w:r>
      <w:r w:rsidRPr="008565A5">
        <w:rPr>
          <w:sz w:val="28"/>
          <w:szCs w:val="28"/>
          <w:lang w:val="pt-BR"/>
        </w:rPr>
        <w:t>: đến 35 tuổi, từ 36-55 tuổi, từ 56-60 tuổi, từ 61-65 tuổi, trên 65 tuổi.</w:t>
      </w:r>
    </w:p>
    <w:p w:rsidR="00EB2965" w:rsidRPr="00F867D8" w:rsidRDefault="00EB2965" w:rsidP="00EB2965">
      <w:pPr>
        <w:spacing w:before="60" w:after="60" w:line="264" w:lineRule="auto"/>
        <w:ind w:firstLine="720"/>
        <w:jc w:val="both"/>
        <w:rPr>
          <w:b/>
          <w:sz w:val="28"/>
          <w:szCs w:val="28"/>
          <w:lang w:val="pt-BR"/>
        </w:rPr>
      </w:pPr>
      <w:r w:rsidRPr="00F867D8">
        <w:rPr>
          <w:b/>
          <w:sz w:val="28"/>
          <w:szCs w:val="28"/>
          <w:lang w:val="pt-BR"/>
        </w:rPr>
        <w:t>3. Nguồn số liệu</w:t>
      </w:r>
    </w:p>
    <w:p w:rsidR="00EB2965" w:rsidRPr="008565A5" w:rsidRDefault="00EB2965" w:rsidP="00EB2965">
      <w:pPr>
        <w:spacing w:before="60" w:after="60" w:line="264" w:lineRule="auto"/>
        <w:ind w:firstLine="720"/>
        <w:jc w:val="both"/>
        <w:rPr>
          <w:color w:val="000000"/>
          <w:sz w:val="28"/>
          <w:szCs w:val="28"/>
          <w:lang w:val="pt-BR"/>
        </w:rPr>
      </w:pPr>
      <w:r w:rsidRPr="008565A5">
        <w:rPr>
          <w:color w:val="000000"/>
          <w:sz w:val="28"/>
          <w:szCs w:val="28"/>
          <w:lang w:val="pt-BR"/>
        </w:rPr>
        <w:t xml:space="preserve">Hồ sơ quản lý của Vụ </w:t>
      </w:r>
      <w:r w:rsidRPr="008565A5">
        <w:rPr>
          <w:rFonts w:eastAsia="Calibri"/>
          <w:color w:val="000000"/>
          <w:sz w:val="28"/>
          <w:szCs w:val="28"/>
          <w:lang w:val="pt-BR"/>
        </w:rPr>
        <w:t xml:space="preserve">Tổ chức cán bộ </w:t>
      </w:r>
      <w:r w:rsidRPr="008565A5">
        <w:rPr>
          <w:sz w:val="28"/>
          <w:szCs w:val="28"/>
          <w:lang w:val="pt-BR"/>
        </w:rPr>
        <w:t>(Bộ KH&amp;CN).</w:t>
      </w:r>
    </w:p>
    <w:p w:rsidR="00697DDE" w:rsidRPr="00EB2965" w:rsidRDefault="00EB2965" w:rsidP="00EB2965">
      <w:pPr>
        <w:spacing w:before="60" w:after="60" w:line="264" w:lineRule="auto"/>
        <w:ind w:firstLine="720"/>
        <w:jc w:val="both"/>
        <w:rPr>
          <w:color w:val="000000"/>
          <w:sz w:val="28"/>
          <w:szCs w:val="28"/>
          <w:lang w:val="pt-BR"/>
        </w:rPr>
      </w:pPr>
      <w:r w:rsidRPr="008565A5">
        <w:rPr>
          <w:color w:val="000000"/>
          <w:sz w:val="28"/>
          <w:szCs w:val="28"/>
          <w:lang w:val="pt-BR"/>
        </w:rPr>
        <w:t>Số liệu thống kê do cơ quan, đơn vị thuộc các Bộ, cơ quan ngang Bộ, cơ quan thuộc Chính phủ, Tòa án nhân dân tối cao, Viện kiểm sát nhân dân tối cao được giao nhiệm vụ thống kê KH&amp;CN; Sở KH&amp;CN các tỉnh, TP trực thuộc Trung ương tổng hợp.</w:t>
      </w:r>
      <w:bookmarkStart w:id="0" w:name="_GoBack"/>
      <w:bookmarkEnd w:id="0"/>
    </w:p>
    <w:sectPr w:rsidR="00697DDE" w:rsidRPr="00EB2965" w:rsidSect="009D195A">
      <w:pgSz w:w="11907" w:h="16443"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65"/>
    <w:rsid w:val="001D4251"/>
    <w:rsid w:val="00697DDE"/>
    <w:rsid w:val="00772163"/>
    <w:rsid w:val="00926500"/>
    <w:rsid w:val="009D195A"/>
    <w:rsid w:val="00EB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6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6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2025-01-16T08:30:00Z</dcterms:created>
  <dcterms:modified xsi:type="dcterms:W3CDTF">2025-01-16T08:30:00Z</dcterms:modified>
</cp:coreProperties>
</file>